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5354" w14:textId="20B85A8F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281362E6" w14:textId="77777777" w:rsidR="00003E05" w:rsidRDefault="00003E05" w:rsidP="0064184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5DB04402" w14:textId="6503E7B3" w:rsidR="00003E05" w:rsidRPr="00316019" w:rsidRDefault="00003E05" w:rsidP="00316019">
      <w:pPr>
        <w:spacing w:before="240" w:line="276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="00A42221" w:rsidRPr="00875EE7">
        <w:rPr>
          <w:rFonts w:ascii="Tahoma" w:hAnsi="Tahoma" w:cs="Tahoma"/>
          <w:b/>
        </w:rPr>
        <w:t>„</w:t>
      </w:r>
      <w:r w:rsidR="00A70838" w:rsidRPr="00A70838">
        <w:rPr>
          <w:rFonts w:ascii="Tahoma" w:hAnsi="Tahoma" w:cs="Tahoma"/>
          <w:b/>
        </w:rPr>
        <w:t xml:space="preserve">Dostawa i montaż urządzeń dydaktycznych do pracowni głowic stanowiących wyposażenie </w:t>
      </w:r>
      <w:proofErr w:type="spellStart"/>
      <w:r w:rsidR="00A70838" w:rsidRPr="00A70838">
        <w:rPr>
          <w:rFonts w:ascii="Tahoma" w:hAnsi="Tahoma" w:cs="Tahoma"/>
          <w:b/>
        </w:rPr>
        <w:t>sal</w:t>
      </w:r>
      <w:proofErr w:type="spellEnd"/>
      <w:r w:rsidR="00A70838" w:rsidRPr="00A70838">
        <w:rPr>
          <w:rFonts w:ascii="Tahoma" w:hAnsi="Tahoma" w:cs="Tahoma"/>
          <w:b/>
        </w:rPr>
        <w:t xml:space="preserve"> BCU w Pszowie</w:t>
      </w:r>
      <w:r w:rsidR="00A42221" w:rsidRPr="00875EE7">
        <w:rPr>
          <w:rFonts w:ascii="Tahoma" w:hAnsi="Tahoma" w:cs="Tahoma"/>
          <w:b/>
        </w:rPr>
        <w:t>”</w:t>
      </w:r>
      <w:r w:rsidR="00A42221" w:rsidRPr="00875EE7">
        <w:rPr>
          <w:rFonts w:ascii="Tahoma" w:hAnsi="Tahoma" w:cs="Tahoma"/>
          <w:bCs/>
        </w:rPr>
        <w:t>,</w:t>
      </w:r>
      <w:r w:rsidR="00A42221" w:rsidRPr="00875EE7">
        <w:rPr>
          <w:rFonts w:ascii="Tahoma" w:hAnsi="Tahoma" w:cs="Tahoma"/>
          <w:b/>
        </w:rPr>
        <w:t xml:space="preserve"> </w:t>
      </w:r>
      <w:r w:rsidR="00A42221" w:rsidRPr="00875EE7">
        <w:rPr>
          <w:rFonts w:ascii="Tahoma" w:hAnsi="Tahoma" w:cs="Tahoma"/>
          <w:bCs/>
        </w:rPr>
        <w:t xml:space="preserve">prowadzonego </w:t>
      </w:r>
      <w:r w:rsidR="00A42221" w:rsidRPr="007065D3">
        <w:rPr>
          <w:rFonts w:ascii="Tahoma" w:hAnsi="Tahoma" w:cs="Tahoma"/>
          <w:bCs/>
        </w:rPr>
        <w:t xml:space="preserve">przez </w:t>
      </w:r>
      <w:r w:rsidR="00191927" w:rsidRPr="00191927">
        <w:rPr>
          <w:rFonts w:ascii="Tahoma" w:hAnsi="Tahoma" w:cs="Tahoma"/>
          <w:bCs/>
        </w:rPr>
        <w:t xml:space="preserve">Zespół Szkół Ponadpodstawowych w </w:t>
      </w:r>
      <w:r w:rsidR="00D85E1C">
        <w:rPr>
          <w:rFonts w:ascii="Tahoma" w:hAnsi="Tahoma" w:cs="Tahoma"/>
          <w:bCs/>
        </w:rPr>
        <w:t>Pszowie</w:t>
      </w:r>
      <w:r w:rsidR="000A5F25" w:rsidRPr="000A5F25">
        <w:rPr>
          <w:rFonts w:ascii="Tahoma" w:hAnsi="Tahoma" w:cs="Tahoma"/>
          <w:bCs/>
        </w:rPr>
        <w:t xml:space="preserve">, z siedzibą przy ul. </w:t>
      </w:r>
      <w:r w:rsidR="00D85E1C" w:rsidRPr="00D85E1C">
        <w:rPr>
          <w:rFonts w:ascii="Tahoma" w:hAnsi="Tahoma" w:cs="Tahoma"/>
          <w:bCs/>
        </w:rPr>
        <w:t>Traugutta 32</w:t>
      </w:r>
      <w:r w:rsidR="00191927" w:rsidRPr="00191927">
        <w:rPr>
          <w:rFonts w:ascii="Tahoma" w:hAnsi="Tahoma" w:cs="Tahoma"/>
          <w:bCs/>
        </w:rPr>
        <w:t xml:space="preserve"> </w:t>
      </w:r>
      <w:r w:rsidR="000A5F25" w:rsidRPr="000A5F25">
        <w:rPr>
          <w:rFonts w:ascii="Tahoma" w:hAnsi="Tahoma" w:cs="Tahoma"/>
          <w:bCs/>
        </w:rPr>
        <w:t xml:space="preserve">w </w:t>
      </w:r>
      <w:r w:rsidR="00D85E1C">
        <w:rPr>
          <w:rFonts w:ascii="Tahoma" w:hAnsi="Tahoma" w:cs="Tahoma"/>
          <w:bCs/>
        </w:rPr>
        <w:t>Pszowie</w:t>
      </w:r>
      <w:r w:rsidR="000A5F25" w:rsidRPr="000A5F25">
        <w:rPr>
          <w:rFonts w:ascii="Tahoma" w:hAnsi="Tahoma" w:cs="Tahoma"/>
          <w:bCs/>
        </w:rPr>
        <w:t xml:space="preserve"> (44-3</w:t>
      </w:r>
      <w:r w:rsidR="00D85E1C">
        <w:rPr>
          <w:rFonts w:ascii="Tahoma" w:hAnsi="Tahoma" w:cs="Tahoma"/>
          <w:bCs/>
        </w:rPr>
        <w:t>7</w:t>
      </w:r>
      <w:r w:rsidR="000A5F25" w:rsidRPr="000A5F25">
        <w:rPr>
          <w:rFonts w:ascii="Tahoma" w:hAnsi="Tahoma" w:cs="Tahoma"/>
          <w:bCs/>
        </w:rPr>
        <w:t>0)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52BEC079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1590D2EA" w14:textId="77777777" w:rsidR="002B210D" w:rsidRPr="00197183" w:rsidRDefault="002B210D" w:rsidP="00641849">
      <w:pPr>
        <w:spacing w:after="160" w:line="276" w:lineRule="auto"/>
        <w:contextualSpacing/>
        <w:rPr>
          <w:rFonts w:ascii="Tahoma" w:hAnsi="Tahoma" w:cs="Tahoma"/>
        </w:rPr>
      </w:pPr>
      <w:r w:rsidRPr="00197183">
        <w:rPr>
          <w:rFonts w:ascii="Tahoma" w:hAnsi="Tahoma" w:cs="Tahoma"/>
        </w:rPr>
        <w:t xml:space="preserve">Mając na uwadze przesłanki wykluczenia zawarte w art. 108 ust. 1 pkt 1-6 ustawy </w:t>
      </w:r>
      <w:proofErr w:type="spellStart"/>
      <w:r w:rsidRPr="00197183">
        <w:rPr>
          <w:rFonts w:ascii="Tahoma" w:hAnsi="Tahoma" w:cs="Tahoma"/>
        </w:rPr>
        <w:t>Pzp</w:t>
      </w:r>
      <w:proofErr w:type="spellEnd"/>
      <w:r w:rsidRPr="00197183">
        <w:rPr>
          <w:rFonts w:ascii="Tahoma" w:hAnsi="Tahoma" w:cs="Tahoma"/>
        </w:rPr>
        <w:t>, tj.:</w:t>
      </w:r>
    </w:p>
    <w:p w14:paraId="6FF80989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2DC28BC7" w14:textId="5C6D9A61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będącego osobą fizyczną, którego prawomocnie skazano za przestępstwo:</w:t>
      </w:r>
    </w:p>
    <w:p w14:paraId="1B791CE6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10566199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5CEAED57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</w:t>
      </w:r>
      <w:r>
        <w:rPr>
          <w:rFonts w:ascii="Tahoma" w:hAnsi="Tahoma" w:cs="Tahoma"/>
          <w:sz w:val="20"/>
          <w:szCs w:val="20"/>
          <w:lang w:eastAsia="pl-PL"/>
        </w:rPr>
        <w:t xml:space="preserve">tekst jednolity: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</w:t>
      </w:r>
      <w:r>
        <w:rPr>
          <w:rFonts w:ascii="Tahoma" w:hAnsi="Tahoma" w:cs="Tahoma"/>
          <w:sz w:val="20"/>
          <w:szCs w:val="20"/>
          <w:lang w:eastAsia="pl-PL"/>
        </w:rPr>
        <w:t>4</w:t>
      </w:r>
      <w:r w:rsidRPr="00094A88">
        <w:rPr>
          <w:rFonts w:ascii="Tahoma" w:hAnsi="Tahoma" w:cs="Tahoma"/>
          <w:sz w:val="20"/>
          <w:szCs w:val="20"/>
          <w:lang w:eastAsia="pl-PL"/>
        </w:rPr>
        <w:t xml:space="preserve"> r. poz. </w:t>
      </w:r>
      <w:r>
        <w:rPr>
          <w:rFonts w:ascii="Tahoma" w:hAnsi="Tahoma" w:cs="Tahoma"/>
          <w:sz w:val="20"/>
          <w:szCs w:val="20"/>
          <w:lang w:eastAsia="pl-PL"/>
        </w:rPr>
        <w:t>14</w:t>
      </w:r>
      <w:r w:rsidRPr="00094A88">
        <w:rPr>
          <w:rFonts w:ascii="Tahoma" w:hAnsi="Tahoma" w:cs="Tahoma"/>
          <w:sz w:val="20"/>
          <w:szCs w:val="20"/>
          <w:lang w:eastAsia="pl-PL"/>
        </w:rPr>
        <w:t>48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 xml:space="preserve">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</w:t>
      </w:r>
      <w:r>
        <w:rPr>
          <w:rFonts w:ascii="Tahoma" w:hAnsi="Tahoma" w:cs="Tahoma"/>
          <w:sz w:val="20"/>
          <w:szCs w:val="20"/>
          <w:lang w:eastAsia="pl-PL"/>
        </w:rPr>
        <w:t> </w:t>
      </w:r>
      <w:r w:rsidRPr="007F5C91">
        <w:rPr>
          <w:rFonts w:ascii="Tahoma" w:hAnsi="Tahoma" w:cs="Tahoma"/>
          <w:sz w:val="20"/>
          <w:szCs w:val="20"/>
          <w:lang w:eastAsia="pl-PL"/>
        </w:rPr>
        <w:t>r. o refundacji leków, środków spożywczych specjalnego przeznaczenia żywieniowego oraz wyrobów medycznych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2024 r. poz. 930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>),</w:t>
      </w:r>
    </w:p>
    <w:p w14:paraId="3BA01CBD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087B5B5A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7F6C3341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7F5C91">
        <w:rPr>
          <w:rFonts w:ascii="Tahoma" w:hAnsi="Tahoma" w:cs="Tahoma"/>
          <w:sz w:val="20"/>
          <w:szCs w:val="20"/>
          <w:lang w:eastAsia="pl-PL"/>
        </w:rPr>
        <w:t>Dz. U. z 2021 r. poz. 1745),</w:t>
      </w:r>
    </w:p>
    <w:p w14:paraId="74F74137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4C8DDDE1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7985E729" w14:textId="77777777" w:rsidR="00F40E88" w:rsidRPr="008D2895" w:rsidRDefault="00F40E88" w:rsidP="00F40E88">
      <w:pPr>
        <w:spacing w:line="276" w:lineRule="auto"/>
        <w:ind w:left="567"/>
        <w:rPr>
          <w:rFonts w:ascii="Tahoma" w:hAnsi="Tahoma" w:cs="Tahoma"/>
        </w:rPr>
      </w:pPr>
      <w:r w:rsidRPr="008D2895">
        <w:rPr>
          <w:rFonts w:ascii="Tahoma" w:hAnsi="Tahoma" w:cs="Tahoma"/>
        </w:rPr>
        <w:t>- lub za odpowiedni czyn zabroniony określony w przepisach prawa obcego;</w:t>
      </w:r>
    </w:p>
    <w:p w14:paraId="21021BB7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8EDECDB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lastRenderedPageBreak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AA4824D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wobec którego prawomocnie orzeczono zakaz ubiegania się o zamówienia publiczne;</w:t>
      </w:r>
    </w:p>
    <w:p w14:paraId="3797559C" w14:textId="77777777" w:rsid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A7C620E" w14:textId="6B1FA204" w:rsidR="002B210D" w:rsidRP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18"/>
          <w:szCs w:val="18"/>
          <w:lang w:eastAsia="pl-PL"/>
        </w:rPr>
      </w:pPr>
      <w:r w:rsidRPr="00F40E88">
        <w:rPr>
          <w:rFonts w:ascii="Tahoma" w:hAnsi="Tahoma" w:cs="Tahoma"/>
          <w:sz w:val="20"/>
          <w:szCs w:val="20"/>
        </w:rPr>
        <w:t xml:space="preserve">jeżeli, w przypadkach, o których mowa w art. 85 ust. 1 ustawy </w:t>
      </w:r>
      <w:proofErr w:type="spellStart"/>
      <w:r w:rsidRPr="00F40E88">
        <w:rPr>
          <w:rFonts w:ascii="Tahoma" w:hAnsi="Tahoma" w:cs="Tahoma"/>
          <w:sz w:val="20"/>
          <w:szCs w:val="20"/>
        </w:rPr>
        <w:t>Pzp</w:t>
      </w:r>
      <w:proofErr w:type="spellEnd"/>
      <w:r w:rsidRPr="00F40E88">
        <w:rPr>
          <w:rFonts w:ascii="Tahoma" w:hAnsi="Tahoma" w:cs="Tahoma"/>
          <w:sz w:val="20"/>
          <w:szCs w:val="20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F40E88">
          <w:rPr>
            <w:rFonts w:ascii="Tahoma" w:hAnsi="Tahoma" w:cs="Tahoma"/>
            <w:sz w:val="20"/>
            <w:szCs w:val="20"/>
          </w:rPr>
          <w:t>ustawy</w:t>
        </w:r>
      </w:hyperlink>
      <w:r w:rsidRPr="00F40E88">
        <w:rPr>
          <w:rFonts w:ascii="Tahoma" w:hAnsi="Tahoma" w:cs="Tahoma"/>
          <w:sz w:val="20"/>
          <w:szCs w:val="20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2B210D" w:rsidRPr="00F40E88">
        <w:rPr>
          <w:rFonts w:ascii="Tahoma" w:hAnsi="Tahoma" w:cs="Tahoma"/>
          <w:sz w:val="20"/>
          <w:szCs w:val="20"/>
        </w:rPr>
        <w:t>.”</w:t>
      </w:r>
    </w:p>
    <w:p w14:paraId="37A6B996" w14:textId="77777777" w:rsidR="002B210D" w:rsidRPr="00641849" w:rsidRDefault="002B210D" w:rsidP="00641849">
      <w:pPr>
        <w:spacing w:line="276" w:lineRule="auto"/>
        <w:ind w:left="284" w:hanging="567"/>
        <w:rPr>
          <w:rFonts w:ascii="Tahoma" w:hAnsi="Tahoma" w:cs="Tahoma"/>
          <w:b/>
          <w:bCs/>
        </w:rPr>
      </w:pPr>
      <w:bookmarkStart w:id="1" w:name="_Hlk103154200"/>
      <w:r w:rsidRPr="00641849">
        <w:rPr>
          <w:rFonts w:ascii="Tahoma" w:hAnsi="Tahoma" w:cs="Tahoma"/>
          <w:b/>
          <w:bCs/>
          <w:i/>
        </w:rPr>
        <w:t>[zaznaczyć właściwe]</w:t>
      </w:r>
    </w:p>
    <w:bookmarkEnd w:id="1"/>
    <w:p w14:paraId="122A8583" w14:textId="77777777" w:rsidR="002B210D" w:rsidRPr="00105D25" w:rsidRDefault="002B210D" w:rsidP="00641849">
      <w:pPr>
        <w:pStyle w:val="Akapitzlist"/>
        <w:numPr>
          <w:ilvl w:val="0"/>
          <w:numId w:val="3"/>
        </w:numPr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>.</w:t>
      </w:r>
    </w:p>
    <w:p w14:paraId="0450BA26" w14:textId="77777777" w:rsidR="002B210D" w:rsidRPr="00105D25" w:rsidRDefault="002B210D" w:rsidP="00641849">
      <w:pPr>
        <w:pStyle w:val="Akapitzlist"/>
        <w:numPr>
          <w:ilvl w:val="0"/>
          <w:numId w:val="3"/>
        </w:numPr>
        <w:spacing w:after="0"/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 xml:space="preserve">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 xml:space="preserve">108 ust. 1 pkt 1, 2, i 5 ustawy </w:t>
      </w:r>
      <w:proofErr w:type="spellStart"/>
      <w:r w:rsidRPr="00B0025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B0025E">
        <w:rPr>
          <w:rFonts w:ascii="Tahoma" w:hAnsi="Tahoma" w:cs="Tahoma"/>
          <w:i/>
          <w:sz w:val="20"/>
          <w:szCs w:val="20"/>
        </w:rPr>
        <w:t>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28020931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12757EB" w14:textId="77777777" w:rsidR="002B210D" w:rsidRPr="001F0280" w:rsidRDefault="002B210D" w:rsidP="00641849">
      <w:pPr>
        <w:spacing w:line="276" w:lineRule="auto"/>
        <w:ind w:left="284" w:right="28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BFE3077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119639AC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4B2F3973" w14:textId="77777777" w:rsidR="002B210D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5997F2B7" w14:textId="3A6F025C" w:rsidR="002B210D" w:rsidRPr="00023EF1" w:rsidRDefault="002B210D" w:rsidP="00641849">
      <w:pPr>
        <w:shd w:val="clear" w:color="auto" w:fill="D9D9D9" w:themeFill="background1" w:themeFillShade="D9"/>
        <w:spacing w:before="240" w:line="276" w:lineRule="auto"/>
        <w:ind w:right="28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  <w:b/>
        </w:rPr>
        <w:t>tekst jednolity: Dz. U. z 202</w:t>
      </w:r>
      <w:r w:rsidR="00265BA3">
        <w:rPr>
          <w:rFonts w:ascii="Tahoma" w:hAnsi="Tahoma" w:cs="Tahoma"/>
          <w:b/>
        </w:rPr>
        <w:t>5</w:t>
      </w:r>
      <w:r w:rsidR="00F40E88" w:rsidRPr="00F40E88">
        <w:rPr>
          <w:rFonts w:ascii="Tahoma" w:hAnsi="Tahoma" w:cs="Tahoma"/>
          <w:b/>
        </w:rPr>
        <w:t xml:space="preserve"> r. poz. 5</w:t>
      </w:r>
      <w:r w:rsidR="00265BA3">
        <w:rPr>
          <w:rFonts w:ascii="Tahoma" w:hAnsi="Tahoma" w:cs="Tahoma"/>
          <w:b/>
        </w:rPr>
        <w:t>14</w:t>
      </w:r>
      <w:r w:rsidRPr="00023EF1">
        <w:rPr>
          <w:rFonts w:ascii="Tahoma" w:hAnsi="Tahoma" w:cs="Tahoma"/>
          <w:b/>
        </w:rPr>
        <w:t>)</w:t>
      </w:r>
    </w:p>
    <w:p w14:paraId="07774711" w14:textId="07414915" w:rsidR="002B210D" w:rsidRDefault="002B210D" w:rsidP="00641849">
      <w:pPr>
        <w:spacing w:line="276" w:lineRule="auto"/>
        <w:rPr>
          <w:rFonts w:ascii="Tahoma" w:hAnsi="Tahoma" w:cs="Tahoma"/>
        </w:rPr>
      </w:pPr>
      <w:bookmarkStart w:id="2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</w:t>
      </w:r>
      <w:r w:rsidR="00265BA3">
        <w:rPr>
          <w:rFonts w:ascii="Tahoma" w:hAnsi="Tahoma" w:cs="Tahoma"/>
        </w:rPr>
        <w:t>5</w:t>
      </w:r>
      <w:r w:rsidR="00F40E88" w:rsidRPr="00F40E88">
        <w:rPr>
          <w:rFonts w:ascii="Tahoma" w:hAnsi="Tahoma" w:cs="Tahoma"/>
        </w:rPr>
        <w:t xml:space="preserve"> r. poz. 5</w:t>
      </w:r>
      <w:r w:rsidR="00265BA3">
        <w:rPr>
          <w:rFonts w:ascii="Tahoma" w:hAnsi="Tahoma" w:cs="Tahoma"/>
        </w:rPr>
        <w:t>14</w:t>
      </w:r>
      <w:r w:rsidRPr="00023EF1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5EE178B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1A09E419" w14:textId="568A9A13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1)</w:t>
      </w:r>
      <w:r w:rsidRPr="00C21722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>. zm.) i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rozporządzeniu Rady (UE) nr 269/2014 z dnia 17 marca 2014 r. w sprawie środków ograniczających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 xml:space="preserve">odniesieniu do działań podważających integralność terytorialną, suwerenność i niezależność Ukrainy lub </w:t>
      </w:r>
      <w:r w:rsidRPr="00C21722">
        <w:rPr>
          <w:rFonts w:ascii="Tahoma" w:hAnsi="Tahoma" w:cs="Tahoma"/>
        </w:rPr>
        <w:lastRenderedPageBreak/>
        <w:t xml:space="preserve">im zagrażających (Dz. Urz. UE L 78 z 17.03.2014, str. 6,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08805A31" w14:textId="791739D4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2)</w:t>
      </w:r>
      <w:r w:rsidRPr="00C21722">
        <w:rPr>
          <w:rFonts w:ascii="Tahoma" w:hAnsi="Tahoma" w:cs="Tahoma"/>
        </w:rPr>
        <w:tab/>
        <w:t>wykonawcę oraz uczestnika konkursu, którego beneficjentem rzeczywistym w rozumieniu ustawy z dnia 1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ile została wpisana na listę na podstawie decyzji w sprawie wpisu na listę rozstrzygającej o zastosowaniu środka, o którym mowa w art. 1 pkt 3;</w:t>
      </w:r>
    </w:p>
    <w:p w14:paraId="3F10CBBD" w14:textId="13797311" w:rsidR="002B210D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3)</w:t>
      </w:r>
      <w:r w:rsidRPr="00C21722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podstawie decyzji w sprawie wpisu na listę rozstrzygającej o zastosowaniu środka, o którym mowa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art.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1 pkt 3.</w:t>
      </w:r>
      <w:r>
        <w:rPr>
          <w:rFonts w:ascii="Tahoma" w:hAnsi="Tahoma" w:cs="Tahoma"/>
        </w:rPr>
        <w:t>”</w:t>
      </w:r>
    </w:p>
    <w:p w14:paraId="73C56984" w14:textId="6B644658" w:rsidR="002B210D" w:rsidRPr="00023EF1" w:rsidRDefault="002B210D" w:rsidP="00641849">
      <w:pPr>
        <w:spacing w:line="276" w:lineRule="auto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</w:t>
      </w:r>
      <w:r w:rsidR="00265BA3">
        <w:rPr>
          <w:rFonts w:ascii="Tahoma" w:hAnsi="Tahoma" w:cs="Tahoma"/>
        </w:rPr>
        <w:t>5</w:t>
      </w:r>
      <w:r w:rsidR="00F40E88" w:rsidRPr="00F40E88">
        <w:rPr>
          <w:rFonts w:ascii="Tahoma" w:hAnsi="Tahoma" w:cs="Tahoma"/>
        </w:rPr>
        <w:t xml:space="preserve"> r. poz. 5</w:t>
      </w:r>
      <w:r w:rsidR="00265BA3">
        <w:rPr>
          <w:rFonts w:ascii="Tahoma" w:hAnsi="Tahoma" w:cs="Tahoma"/>
        </w:rPr>
        <w:t>14</w:t>
      </w:r>
      <w:r w:rsidRPr="00023EF1">
        <w:rPr>
          <w:rFonts w:ascii="Tahoma" w:hAnsi="Tahoma" w:cs="Tahoma"/>
        </w:rPr>
        <w:t>)</w:t>
      </w:r>
      <w:r w:rsidRPr="00023EF1">
        <w:rPr>
          <w:rFonts w:ascii="Tahoma" w:eastAsia="Calibri" w:hAnsi="Tahoma" w:cs="Tahoma"/>
        </w:rPr>
        <w:t>.</w:t>
      </w:r>
    </w:p>
    <w:bookmarkEnd w:id="2"/>
    <w:p w14:paraId="7535230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4AB605C" w14:textId="46CAEC5A" w:rsidR="001E49B9" w:rsidRPr="00003E05" w:rsidRDefault="00003E05" w:rsidP="00641849">
      <w:pPr>
        <w:spacing w:line="276" w:lineRule="auto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1E49B9" w:rsidRPr="00003E05" w:rsidSect="00316019">
      <w:headerReference w:type="default" r:id="rId22"/>
      <w:footerReference w:type="default" r:id="rId23"/>
      <w:pgSz w:w="11906" w:h="16838"/>
      <w:pgMar w:top="1418" w:right="1133" w:bottom="709" w:left="993" w:header="709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DFFDF" w14:textId="77777777" w:rsidR="00DF4283" w:rsidRDefault="00DF4283" w:rsidP="00003E05">
      <w:r>
        <w:separator/>
      </w:r>
    </w:p>
  </w:endnote>
  <w:endnote w:type="continuationSeparator" w:id="0">
    <w:p w14:paraId="2AE0F4EA" w14:textId="77777777" w:rsidR="00DF4283" w:rsidRDefault="00DF4283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6186215"/>
      <w:docPartObj>
        <w:docPartGallery w:val="Page Numbers (Bottom of Page)"/>
        <w:docPartUnique/>
      </w:docPartObj>
    </w:sdtPr>
    <w:sdtEndPr/>
    <w:sdtContent>
      <w:p w14:paraId="783C3675" w14:textId="7FB12224" w:rsidR="00316019" w:rsidRPr="005C6B3B" w:rsidRDefault="00316019" w:rsidP="00316019">
        <w:pPr>
          <w:tabs>
            <w:tab w:val="center" w:pos="4536"/>
            <w:tab w:val="right" w:pos="9072"/>
          </w:tabs>
          <w:spacing w:before="600"/>
          <w:jc w:val="center"/>
          <w:rPr>
            <w:noProof/>
          </w:rPr>
        </w:pPr>
        <w:r>
          <w:rPr>
            <w:noProof/>
          </w:rPr>
          <w:t xml:space="preserve">                                                   </w:t>
        </w:r>
      </w:p>
      <w:p w14:paraId="445732D6" w14:textId="3902128D" w:rsidR="00316019" w:rsidRDefault="00316019" w:rsidP="00316019">
        <w:pPr>
          <w:pStyle w:val="Stopka"/>
          <w:jc w:val="right"/>
        </w:pPr>
      </w:p>
      <w:p w14:paraId="74987042" w14:textId="3B2CE4ED" w:rsidR="00C87918" w:rsidRDefault="00F66BDD" w:rsidP="003160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315BD" w14:textId="77777777" w:rsidR="00DF4283" w:rsidRDefault="00DF4283" w:rsidP="00003E05">
      <w:r>
        <w:separator/>
      </w:r>
    </w:p>
  </w:footnote>
  <w:footnote w:type="continuationSeparator" w:id="0">
    <w:p w14:paraId="31AECD17" w14:textId="77777777" w:rsidR="00DF4283" w:rsidRDefault="00DF4283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E8168" w14:textId="409C9710" w:rsidR="00EA2F14" w:rsidRDefault="00316019" w:rsidP="00316019">
    <w:pPr>
      <w:pStyle w:val="Nagwek"/>
      <w:jc w:val="center"/>
      <w:rPr>
        <w:rFonts w:ascii="Tahoma" w:hAnsi="Tahoma" w:cs="Tahoma"/>
        <w:i/>
        <w:sz w:val="16"/>
        <w:szCs w:val="16"/>
      </w:rPr>
    </w:pPr>
    <w:r>
      <w:rPr>
        <w:noProof/>
      </w:rPr>
      <w:drawing>
        <wp:inline distT="0" distB="0" distL="0" distR="0" wp14:anchorId="525C21D8" wp14:editId="338B3DED">
          <wp:extent cx="5760720" cy="700963"/>
          <wp:effectExtent l="0" t="0" r="0" b="4445"/>
          <wp:docPr id="1140934159" name="Obraz 11409341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09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5770AA" w14:textId="77777777" w:rsidR="00EA2F14" w:rsidRDefault="00EA2F14" w:rsidP="00EA2F14">
    <w:pPr>
      <w:pStyle w:val="Nagwek"/>
      <w:rPr>
        <w:rFonts w:ascii="Tahoma" w:hAnsi="Tahoma" w:cs="Tahoma"/>
        <w:i/>
        <w:sz w:val="16"/>
        <w:szCs w:val="16"/>
      </w:rPr>
    </w:pPr>
  </w:p>
  <w:p w14:paraId="7BA8DF9D" w14:textId="77777777" w:rsidR="00D86F30" w:rsidRPr="00D86F30" w:rsidRDefault="00D86F30" w:rsidP="00D86F30">
    <w:pPr>
      <w:pStyle w:val="Nagwek"/>
      <w:rPr>
        <w:rFonts w:ascii="Tahoma" w:hAnsi="Tahoma" w:cs="Tahoma"/>
        <w:bCs/>
        <w:i/>
        <w:iCs/>
        <w:sz w:val="16"/>
        <w:szCs w:val="16"/>
      </w:rPr>
    </w:pPr>
  </w:p>
  <w:p w14:paraId="4FFEED69" w14:textId="6D83D5CD" w:rsidR="00D85E1C" w:rsidRDefault="00D86F30" w:rsidP="00D86F30">
    <w:pPr>
      <w:pStyle w:val="Nagwek"/>
      <w:rPr>
        <w:rFonts w:ascii="Tahoma" w:hAnsi="Tahoma" w:cs="Tahoma"/>
        <w:bCs/>
        <w:i/>
        <w:iCs/>
        <w:sz w:val="16"/>
        <w:szCs w:val="16"/>
      </w:rPr>
    </w:pPr>
    <w:r w:rsidRPr="00D86F30">
      <w:rPr>
        <w:rFonts w:ascii="Tahoma" w:hAnsi="Tahoma" w:cs="Tahoma"/>
        <w:bCs/>
        <w:i/>
        <w:iCs/>
        <w:sz w:val="16"/>
        <w:szCs w:val="16"/>
      </w:rPr>
      <w:t>ZSP.26.</w:t>
    </w:r>
    <w:r w:rsidR="00A70838">
      <w:rPr>
        <w:rFonts w:ascii="Tahoma" w:hAnsi="Tahoma" w:cs="Tahoma"/>
        <w:bCs/>
        <w:i/>
        <w:iCs/>
        <w:sz w:val="16"/>
        <w:szCs w:val="16"/>
      </w:rPr>
      <w:t>9</w:t>
    </w:r>
    <w:r w:rsidRPr="00D86F30">
      <w:rPr>
        <w:rFonts w:ascii="Tahoma" w:hAnsi="Tahoma" w:cs="Tahoma"/>
        <w:bCs/>
        <w:i/>
        <w:iCs/>
        <w:sz w:val="16"/>
        <w:szCs w:val="16"/>
      </w:rPr>
      <w:t>.2025</w:t>
    </w:r>
  </w:p>
  <w:p w14:paraId="0DA7FE09" w14:textId="77777777" w:rsidR="00D86F30" w:rsidRPr="00450E8F" w:rsidRDefault="00D86F30" w:rsidP="00D86F30">
    <w:pPr>
      <w:pStyle w:val="Nagwek"/>
      <w:rPr>
        <w:rFonts w:ascii="Tahoma" w:hAnsi="Tahoma" w:cs="Tahoma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464FC"/>
    <w:multiLevelType w:val="hybridMultilevel"/>
    <w:tmpl w:val="3FDC3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5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9136853">
    <w:abstractNumId w:val="1"/>
  </w:num>
  <w:num w:numId="2" w16cid:durableId="595601667">
    <w:abstractNumId w:val="5"/>
  </w:num>
  <w:num w:numId="3" w16cid:durableId="175534179">
    <w:abstractNumId w:val="4"/>
  </w:num>
  <w:num w:numId="4" w16cid:durableId="1300040472">
    <w:abstractNumId w:val="2"/>
  </w:num>
  <w:num w:numId="5" w16cid:durableId="448740277">
    <w:abstractNumId w:val="3"/>
  </w:num>
  <w:num w:numId="6" w16cid:durableId="305357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comment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1525F"/>
    <w:rsid w:val="00017FE5"/>
    <w:rsid w:val="000A13FF"/>
    <w:rsid w:val="000A5F25"/>
    <w:rsid w:val="000C1A90"/>
    <w:rsid w:val="000F413E"/>
    <w:rsid w:val="000F76C6"/>
    <w:rsid w:val="001439F6"/>
    <w:rsid w:val="00181F36"/>
    <w:rsid w:val="00191927"/>
    <w:rsid w:val="00195697"/>
    <w:rsid w:val="001A2A3C"/>
    <w:rsid w:val="001C11C4"/>
    <w:rsid w:val="001E49B9"/>
    <w:rsid w:val="001F4887"/>
    <w:rsid w:val="001F6791"/>
    <w:rsid w:val="00236053"/>
    <w:rsid w:val="00261081"/>
    <w:rsid w:val="002632BD"/>
    <w:rsid w:val="00265BA3"/>
    <w:rsid w:val="00274AF9"/>
    <w:rsid w:val="002B210D"/>
    <w:rsid w:val="002E7782"/>
    <w:rsid w:val="00316019"/>
    <w:rsid w:val="00445AC1"/>
    <w:rsid w:val="00450E8F"/>
    <w:rsid w:val="00465E83"/>
    <w:rsid w:val="004A1B5F"/>
    <w:rsid w:val="005B3AC2"/>
    <w:rsid w:val="005D5B07"/>
    <w:rsid w:val="00641849"/>
    <w:rsid w:val="006B1BE0"/>
    <w:rsid w:val="006C0928"/>
    <w:rsid w:val="00717FD6"/>
    <w:rsid w:val="00724B1E"/>
    <w:rsid w:val="0076551F"/>
    <w:rsid w:val="007F01DD"/>
    <w:rsid w:val="00801E45"/>
    <w:rsid w:val="00821534"/>
    <w:rsid w:val="00847D65"/>
    <w:rsid w:val="0085363E"/>
    <w:rsid w:val="00891AFC"/>
    <w:rsid w:val="008F01BE"/>
    <w:rsid w:val="00916420"/>
    <w:rsid w:val="009C438D"/>
    <w:rsid w:val="009C49C4"/>
    <w:rsid w:val="00A1640A"/>
    <w:rsid w:val="00A42221"/>
    <w:rsid w:val="00A531B6"/>
    <w:rsid w:val="00A679F8"/>
    <w:rsid w:val="00A70838"/>
    <w:rsid w:val="00A72DFA"/>
    <w:rsid w:val="00A75214"/>
    <w:rsid w:val="00B120A9"/>
    <w:rsid w:val="00B752A8"/>
    <w:rsid w:val="00B83DCE"/>
    <w:rsid w:val="00BB5B8C"/>
    <w:rsid w:val="00BB733A"/>
    <w:rsid w:val="00BD1E92"/>
    <w:rsid w:val="00C87918"/>
    <w:rsid w:val="00CB2E76"/>
    <w:rsid w:val="00CC40BE"/>
    <w:rsid w:val="00D45305"/>
    <w:rsid w:val="00D6292F"/>
    <w:rsid w:val="00D85E1C"/>
    <w:rsid w:val="00D86F30"/>
    <w:rsid w:val="00DA04F0"/>
    <w:rsid w:val="00DF4283"/>
    <w:rsid w:val="00E5780C"/>
    <w:rsid w:val="00E716F3"/>
    <w:rsid w:val="00E73404"/>
    <w:rsid w:val="00EA2F14"/>
    <w:rsid w:val="00EC11A9"/>
    <w:rsid w:val="00EE0DF9"/>
    <w:rsid w:val="00F40B5C"/>
    <w:rsid w:val="00F40E88"/>
    <w:rsid w:val="00F66BDD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1389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36</cp:revision>
  <dcterms:created xsi:type="dcterms:W3CDTF">2022-01-27T11:59:00Z</dcterms:created>
  <dcterms:modified xsi:type="dcterms:W3CDTF">2025-11-14T09:22:00Z</dcterms:modified>
</cp:coreProperties>
</file>